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C1" w:rsidRDefault="00804EC1">
      <w:pPr>
        <w:widowControl/>
        <w:rPr>
          <w:rFonts w:eastAsia="標楷體"/>
          <w:b/>
          <w:sz w:val="28"/>
        </w:rPr>
      </w:pPr>
    </w:p>
    <w:p w:rsidR="00260F7A" w:rsidRPr="005C6561" w:rsidRDefault="005E1856" w:rsidP="005C6561">
      <w:pPr>
        <w:spacing w:beforeLines="50" w:before="120" w:afterLines="50" w:after="120"/>
        <w:jc w:val="center"/>
        <w:rPr>
          <w:rFonts w:ascii="標楷體" w:eastAsia="標楷體" w:hAnsi="標楷體"/>
          <w:sz w:val="32"/>
          <w:szCs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1E75D7"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="005C6561">
        <w:rPr>
          <w:rFonts w:ascii="標楷體" w:eastAsia="標楷體" w:hAnsi="標楷體" w:hint="eastAsia"/>
          <w:sz w:val="32"/>
          <w:szCs w:val="32"/>
        </w:rPr>
        <w:t>清水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5C656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50F1">
        <w:rPr>
          <w:rFonts w:ascii="標楷體" w:eastAsia="標楷體" w:hAnsi="標楷體" w:hint="eastAsia"/>
          <w:b/>
          <w:sz w:val="32"/>
        </w:rPr>
        <w:t>1</w:t>
      </w:r>
      <w:r w:rsidR="004E0335">
        <w:rPr>
          <w:rFonts w:ascii="標楷體" w:eastAsia="標楷體" w:hAnsi="標楷體" w:hint="eastAsia"/>
          <w:b/>
          <w:sz w:val="32"/>
        </w:rPr>
        <w:t>10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="00260F7A" w:rsidRPr="00260F7A">
        <w:rPr>
          <w:rFonts w:ascii="標楷體" w:eastAsia="標楷體" w:hAnsi="標楷體" w:hint="eastAsia"/>
          <w:b/>
          <w:sz w:val="32"/>
        </w:rPr>
        <w:t>體架構</w:t>
      </w:r>
    </w:p>
    <w:p w:rsidR="006157FA" w:rsidRPr="006157FA" w:rsidRDefault="00104987" w:rsidP="006157FA">
      <w:pPr>
        <w:tabs>
          <w:tab w:val="center" w:pos="4819"/>
        </w:tabs>
        <w:spacing w:beforeLines="50" w:before="120" w:afterLines="50" w:after="120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sz w:val="28"/>
        </w:rPr>
        <w:t>1</w:t>
      </w:r>
      <w:r w:rsidR="006157FA">
        <w:rPr>
          <w:rFonts w:eastAsia="標楷體" w:hint="eastAsia"/>
          <w:b/>
          <w:sz w:val="28"/>
        </w:rPr>
        <w:t>、</w:t>
      </w:r>
      <w:r w:rsidR="006157FA" w:rsidRPr="00B74F55">
        <w:rPr>
          <w:rFonts w:eastAsia="標楷體" w:hint="eastAsia"/>
          <w:b/>
          <w:sz w:val="28"/>
        </w:rPr>
        <w:t>學校現況與背景分析</w:t>
      </w:r>
    </w:p>
    <w:p w:rsidR="005E1856" w:rsidRPr="005E1856" w:rsidRDefault="005E1856" w:rsidP="005E1856">
      <w:pPr>
        <w:spacing w:beforeLines="50" w:before="120" w:afterLines="50" w:after="120"/>
        <w:ind w:firstLineChars="150" w:firstLine="420"/>
        <w:rPr>
          <w:rFonts w:ascii="微軟正黑體" w:eastAsia="微軟正黑體" w:hAnsi="微軟正黑體"/>
          <w:b/>
          <w:color w:val="FF0000"/>
          <w:sz w:val="28"/>
        </w:rPr>
      </w:pPr>
      <w:r w:rsidRPr="005E1856">
        <w:rPr>
          <w:rFonts w:ascii="微軟正黑體" w:eastAsia="微軟正黑體" w:hAnsi="微軟正黑體" w:hint="eastAsia"/>
          <w:b/>
          <w:color w:val="FF0000"/>
          <w:sz w:val="28"/>
        </w:rPr>
        <w:t>1</w:t>
      </w:r>
      <w:r w:rsidR="00A26617">
        <w:rPr>
          <w:rFonts w:ascii="微軟正黑體" w:eastAsia="微軟正黑體" w:hAnsi="微軟正黑體"/>
          <w:b/>
          <w:color w:val="FF0000"/>
          <w:sz w:val="28"/>
        </w:rPr>
        <w:t>-</w:t>
      </w:r>
      <w:r w:rsidRPr="005E1856">
        <w:rPr>
          <w:rFonts w:ascii="微軟正黑體" w:eastAsia="微軟正黑體" w:hAnsi="微軟正黑體" w:hint="eastAsia"/>
          <w:b/>
          <w:color w:val="FF0000"/>
          <w:sz w:val="28"/>
        </w:rPr>
        <w:t xml:space="preserve">2 </w:t>
      </w:r>
      <w:r w:rsidRPr="005E1856">
        <w:rPr>
          <w:rFonts w:ascii="微軟正黑體" w:eastAsia="微軟正黑體" w:hAnsi="微軟正黑體" w:cs="Courier New"/>
          <w:color w:val="212529"/>
          <w:shd w:val="clear" w:color="auto" w:fill="FFFFFF"/>
        </w:rPr>
        <w:t>盤點分析學校課程發展的優劣條件、機會與威脅</w:t>
      </w:r>
    </w:p>
    <w:p w:rsidR="00804EC1" w:rsidRDefault="00CA15F8" w:rsidP="007D0E22">
      <w:pPr>
        <w:spacing w:beforeLines="50" w:before="120" w:afterLines="50" w:after="120"/>
        <w:rPr>
          <w:rFonts w:ascii="標楷體" w:eastAsia="標楷體" w:hAnsi="標楷體"/>
          <w:b/>
          <w:sz w:val="28"/>
        </w:rPr>
      </w:pPr>
      <w:r w:rsidRPr="00CA15F8">
        <w:rPr>
          <w:rFonts w:ascii="標楷體" w:eastAsia="標楷體" w:hAnsi="標楷體" w:hint="eastAsia"/>
          <w:b/>
          <w:color w:val="FF0000"/>
          <w:sz w:val="28"/>
        </w:rPr>
        <w:t>學校現況與背景因素分析，立基於課程發展所需之重要證據性資料。</w:t>
      </w:r>
      <w:r w:rsidRPr="002814B0">
        <w:rPr>
          <w:rFonts w:ascii="標楷體" w:eastAsia="標楷體" w:hAnsi="標楷體" w:hint="eastAsia"/>
          <w:b/>
          <w:sz w:val="28"/>
        </w:rPr>
        <w:t>可</w:t>
      </w:r>
      <w:r w:rsidR="00F744C1" w:rsidRPr="002814B0">
        <w:rPr>
          <w:rFonts w:ascii="標楷體" w:eastAsia="標楷體" w:hAnsi="標楷體" w:hint="eastAsia"/>
          <w:b/>
          <w:sz w:val="28"/>
        </w:rPr>
        <w:t>以</w:t>
      </w:r>
      <w:r w:rsidR="00F744C1" w:rsidRPr="004417BA">
        <w:rPr>
          <w:rFonts w:ascii="標楷體" w:eastAsia="標楷體" w:hAnsi="標楷體" w:hint="eastAsia"/>
          <w:b/>
          <w:sz w:val="28"/>
          <w:u w:val="single"/>
        </w:rPr>
        <w:t>SWOTA面向</w:t>
      </w:r>
      <w:r w:rsidR="00E721BD">
        <w:rPr>
          <w:rFonts w:ascii="標楷體" w:eastAsia="標楷體" w:hAnsi="標楷體" w:hint="eastAsia"/>
          <w:b/>
          <w:sz w:val="28"/>
        </w:rPr>
        <w:t>或</w:t>
      </w:r>
      <w:r w:rsidR="004417BA" w:rsidRPr="004417BA">
        <w:rPr>
          <w:rFonts w:ascii="標楷體" w:eastAsia="標楷體" w:hAnsi="標楷體" w:hint="eastAsia"/>
          <w:b/>
          <w:sz w:val="28"/>
          <w:u w:val="single"/>
        </w:rPr>
        <w:t>課程發展面向</w:t>
      </w:r>
      <w:r w:rsidR="00045D57">
        <w:rPr>
          <w:rFonts w:ascii="標楷體" w:eastAsia="標楷體" w:hAnsi="標楷體" w:hint="eastAsia"/>
          <w:b/>
          <w:sz w:val="28"/>
        </w:rPr>
        <w:t>盤點分析學校</w:t>
      </w:r>
      <w:r w:rsidR="004417BA">
        <w:rPr>
          <w:rFonts w:ascii="標楷體" w:eastAsia="標楷體" w:hAnsi="標楷體" w:hint="eastAsia"/>
          <w:b/>
          <w:sz w:val="28"/>
        </w:rPr>
        <w:t>現況與</w:t>
      </w:r>
      <w:r w:rsidR="00045D57">
        <w:rPr>
          <w:rFonts w:ascii="標楷體" w:eastAsia="標楷體" w:hAnsi="標楷體" w:hint="eastAsia"/>
          <w:b/>
          <w:sz w:val="28"/>
        </w:rPr>
        <w:t>背景</w:t>
      </w:r>
      <w:r w:rsidR="00AF3663" w:rsidRPr="006157FA">
        <w:rPr>
          <w:rFonts w:ascii="標楷體" w:eastAsia="標楷體" w:hAnsi="標楷體" w:hint="eastAsia"/>
          <w:b/>
          <w:sz w:val="28"/>
        </w:rPr>
        <w:t>:</w:t>
      </w:r>
      <w:r w:rsidR="00E578CA">
        <w:rPr>
          <w:rFonts w:ascii="標楷體" w:eastAsia="標楷體" w:hAnsi="標楷體" w:hint="eastAsia"/>
          <w:b/>
          <w:sz w:val="28"/>
        </w:rPr>
        <w:t>請依教師條件、學生能力</w:t>
      </w:r>
      <w:r w:rsidR="00E721BD">
        <w:rPr>
          <w:rFonts w:ascii="標楷體" w:eastAsia="標楷體" w:hAnsi="標楷體" w:hint="eastAsia"/>
          <w:b/>
          <w:sz w:val="28"/>
        </w:rPr>
        <w:t>、家長條件、</w:t>
      </w:r>
      <w:r w:rsidR="00AF3663" w:rsidRPr="006157FA">
        <w:rPr>
          <w:rFonts w:ascii="標楷體" w:eastAsia="標楷體" w:hAnsi="標楷體" w:hint="eastAsia"/>
          <w:b/>
          <w:sz w:val="28"/>
        </w:rPr>
        <w:t>社區</w:t>
      </w:r>
      <w:r w:rsidR="00E721BD">
        <w:rPr>
          <w:rFonts w:ascii="標楷體" w:eastAsia="標楷體" w:hAnsi="標楷體" w:hint="eastAsia"/>
          <w:b/>
          <w:sz w:val="28"/>
        </w:rPr>
        <w:t>文化環境</w:t>
      </w:r>
      <w:r w:rsidR="00AF3663" w:rsidRPr="006157FA">
        <w:rPr>
          <w:rFonts w:ascii="標楷體" w:eastAsia="標楷體" w:hAnsi="標楷體" w:hint="eastAsia"/>
          <w:b/>
          <w:sz w:val="28"/>
        </w:rPr>
        <w:t>等面向條列式分析說明。</w:t>
      </w:r>
    </w:p>
    <w:p w:rsidR="00880935" w:rsidRPr="00880935" w:rsidRDefault="00880935" w:rsidP="007D0E22">
      <w:pPr>
        <w:spacing w:beforeLines="50" w:before="120" w:afterLines="50" w:after="120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880935">
        <w:rPr>
          <w:rFonts w:ascii="標楷體" w:eastAsia="標楷體" w:hAnsi="標楷體"/>
          <w:color w:val="FF0000"/>
          <w:sz w:val="28"/>
        </w:rPr>
        <w:t>SWOTA</w:t>
      </w:r>
      <w:r w:rsidRPr="00880935">
        <w:rPr>
          <w:rFonts w:ascii="標楷體" w:eastAsia="標楷體" w:hAnsi="標楷體" w:hint="eastAsia"/>
          <w:color w:val="FF0000"/>
          <w:sz w:val="28"/>
        </w:rPr>
        <w:t xml:space="preserve"> 優劣分析(例)</w:t>
      </w:r>
    </w:p>
    <w:tbl>
      <w:tblPr>
        <w:tblStyle w:val="12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3"/>
        <w:gridCol w:w="1601"/>
        <w:gridCol w:w="1601"/>
        <w:gridCol w:w="1625"/>
        <w:gridCol w:w="1566"/>
        <w:gridCol w:w="1576"/>
      </w:tblGrid>
      <w:tr w:rsidR="00FB5A27" w:rsidRPr="00AF3663" w:rsidTr="00FB5A27">
        <w:tc>
          <w:tcPr>
            <w:tcW w:w="1462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629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Threat</w:t>
            </w:r>
          </w:p>
        </w:tc>
        <w:tc>
          <w:tcPr>
            <w:tcW w:w="1629" w:type="dxa"/>
            <w:shd w:val="clear" w:color="auto" w:fill="FFF2CC" w:themeFill="accent4" w:themeFillTint="33"/>
          </w:tcPr>
          <w:p w:rsidR="00FB5A27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Action</w:t>
            </w:r>
          </w:p>
        </w:tc>
      </w:tr>
      <w:tr w:rsidR="00FB5A27" w:rsidRPr="00AF3663" w:rsidTr="00FB5A27">
        <w:trPr>
          <w:trHeight w:val="2343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教師</w:t>
            </w:r>
            <w:r w:rsidR="00071ED5">
              <w:rPr>
                <w:rFonts w:ascii="標楷體" w:eastAsia="標楷體" w:hAnsi="標楷體" w:cs="Arial" w:hint="eastAsia"/>
                <w:sz w:val="28"/>
                <w:szCs w:val="28"/>
              </w:rPr>
              <w:t>條件</w:t>
            </w:r>
          </w:p>
        </w:tc>
        <w:tc>
          <w:tcPr>
            <w:tcW w:w="1628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◎有團隊精神，肯學習、具熱忱。</w:t>
            </w:r>
          </w:p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◎校長年輕有衝勁。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◎主任穩重盡責。</w:t>
            </w:r>
          </w:p>
        </w:tc>
        <w:tc>
          <w:tcPr>
            <w:tcW w:w="1628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◎行政人員少，工作壓力大。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◎編制不足，教師需兼辦行政工作。</w:t>
            </w:r>
          </w:p>
        </w:tc>
        <w:tc>
          <w:tcPr>
            <w:tcW w:w="1629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◎行政人員工作認真，具專業，對未來樂觀，充滿希望。</w:t>
            </w:r>
          </w:p>
        </w:tc>
        <w:tc>
          <w:tcPr>
            <w:tcW w:w="1628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◎隨著政府施政方案改變，行政業務日益加重。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◎行政人員編制不夠</w:t>
            </w:r>
          </w:p>
        </w:tc>
        <w:tc>
          <w:tcPr>
            <w:tcW w:w="1629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◎教訓輔各部門之分工應明確並互相合作追求卓越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FB5A27" w:rsidRPr="00AF3663" w:rsidTr="00FB5A27">
        <w:trPr>
          <w:trHeight w:val="2504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FB5A27" w:rsidRPr="00AF3663" w:rsidRDefault="00F360D6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學生能力</w:t>
            </w:r>
          </w:p>
        </w:tc>
        <w:tc>
          <w:tcPr>
            <w:tcW w:w="1628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◎天真活發反應快，喜好活動化課程。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◎學生敦厚純樸，身體強健。</w:t>
            </w:r>
          </w:p>
        </w:tc>
        <w:tc>
          <w:tcPr>
            <w:tcW w:w="1628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◎學生所接受之文化刺激少。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◎參與大型活動機會少。</w:t>
            </w:r>
          </w:p>
        </w:tc>
        <w:tc>
          <w:tcPr>
            <w:tcW w:w="1629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◎.學生活潑、有禮貌。</w:t>
            </w:r>
          </w:p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◎大部份學生學習意願高。</w:t>
            </w:r>
          </w:p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◎學生可塑性高。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◎小班教學，與教師互動機會多。</w:t>
            </w:r>
          </w:p>
        </w:tc>
        <w:tc>
          <w:tcPr>
            <w:tcW w:w="1628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◎弱勢家庭之學生過半。</w:t>
            </w:r>
          </w:p>
        </w:tc>
        <w:tc>
          <w:tcPr>
            <w:tcW w:w="1629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◎學校規畫多元化全人教育方針。</w:t>
            </w:r>
          </w:p>
        </w:tc>
      </w:tr>
      <w:tr w:rsidR="00FB5A27" w:rsidRPr="00AF3663" w:rsidTr="00FB5A27">
        <w:trPr>
          <w:trHeight w:val="2517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FB5A27" w:rsidRPr="00AF3663" w:rsidRDefault="00E721BD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家長條件</w:t>
            </w:r>
          </w:p>
        </w:tc>
        <w:tc>
          <w:tcPr>
            <w:tcW w:w="1628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◎背景單純、動機良善。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◎家長會熱心，配合度佳。</w:t>
            </w:r>
          </w:p>
        </w:tc>
        <w:tc>
          <w:tcPr>
            <w:tcW w:w="1628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◎有些家長對班務、校務過度關心和介入，造成推展上的困難。</w:t>
            </w:r>
          </w:p>
        </w:tc>
        <w:tc>
          <w:tcPr>
            <w:tcW w:w="1629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舉辦親師座談會、親蘵教育機會，增進溝通。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◎</w:t>
            </w: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開放參與校務管道。</w:t>
            </w:r>
          </w:p>
        </w:tc>
        <w:tc>
          <w:tcPr>
            <w:tcW w:w="1628" w:type="dxa"/>
          </w:tcPr>
          <w:p w:rsidR="00FB5A27" w:rsidRPr="005C6561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◎家長主觀意識強。</w:t>
            </w:r>
          </w:p>
        </w:tc>
        <w:tc>
          <w:tcPr>
            <w:tcW w:w="1629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◎定期舉辦家長說明會、班親會，進行溝通</w:t>
            </w:r>
          </w:p>
        </w:tc>
      </w:tr>
      <w:tr w:rsidR="00FB5A27" w:rsidRPr="00AF3663" w:rsidTr="00D2589C">
        <w:trPr>
          <w:trHeight w:val="2221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FB5A27" w:rsidRPr="00AF3663" w:rsidRDefault="00EE1574" w:rsidP="0010498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社區文化環境</w:t>
            </w:r>
          </w:p>
        </w:tc>
        <w:tc>
          <w:tcPr>
            <w:tcW w:w="1628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◎本校位居八卦山麓，風景優美。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◎附近名勝古蹟多，如清水岩寺、露營區、觀音山……。</w:t>
            </w:r>
          </w:p>
        </w:tc>
        <w:tc>
          <w:tcPr>
            <w:tcW w:w="1628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◎位處偏僻，文化刺激少。</w:t>
            </w:r>
          </w:p>
        </w:tc>
        <w:tc>
          <w:tcPr>
            <w:tcW w:w="1629" w:type="dxa"/>
          </w:tcPr>
          <w:p w:rsidR="005C6561" w:rsidRPr="005C6561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◎鄉立聯合托兒所設立。</w:t>
            </w:r>
          </w:p>
          <w:p w:rsidR="00FB5A27" w:rsidRPr="00AF3663" w:rsidRDefault="005C6561" w:rsidP="005C6561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◎成立清水公園。</w:t>
            </w:r>
          </w:p>
        </w:tc>
        <w:tc>
          <w:tcPr>
            <w:tcW w:w="1628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◎學童上下學的主要路線，在八卦山隧道通車後，造成學生上下學的隱憂。</w:t>
            </w:r>
          </w:p>
        </w:tc>
        <w:tc>
          <w:tcPr>
            <w:tcW w:w="1629" w:type="dxa"/>
          </w:tcPr>
          <w:p w:rsidR="00FB5A27" w:rsidRPr="00AF3663" w:rsidRDefault="005C6561" w:rsidP="00AF3663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5C6561">
              <w:rPr>
                <w:rFonts w:ascii="標楷體" w:eastAsia="標楷體" w:hAnsi="標楷體" w:cs="Arial" w:hint="eastAsia"/>
                <w:sz w:val="28"/>
                <w:szCs w:val="28"/>
              </w:rPr>
              <w:t>◎規畫良善之上下學交通管制與疏導措施。</w:t>
            </w:r>
          </w:p>
        </w:tc>
      </w:tr>
    </w:tbl>
    <w:p w:rsidR="00CA15F8" w:rsidRDefault="00CA15F8" w:rsidP="002A30ED">
      <w:pPr>
        <w:spacing w:beforeLines="50" w:before="120" w:afterLines="50" w:after="120"/>
        <w:rPr>
          <w:rFonts w:eastAsia="標楷體"/>
        </w:rPr>
      </w:pPr>
    </w:p>
    <w:p w:rsidR="004417BA" w:rsidRPr="00880935" w:rsidRDefault="00CA15F8" w:rsidP="002A30ED">
      <w:pPr>
        <w:spacing w:beforeLines="50" w:before="120" w:afterLines="50" w:after="120"/>
        <w:rPr>
          <w:rFonts w:ascii="標楷體" w:eastAsia="標楷體" w:hAnsi="標楷體"/>
          <w:color w:val="FF0000"/>
          <w:sz w:val="28"/>
          <w:szCs w:val="28"/>
        </w:rPr>
      </w:pPr>
      <w:r w:rsidRPr="00880935">
        <w:rPr>
          <w:rFonts w:ascii="標楷體" w:eastAsia="標楷體" w:hAnsi="標楷體" w:hint="eastAsia"/>
          <w:color w:val="FF0000"/>
          <w:sz w:val="28"/>
          <w:szCs w:val="28"/>
        </w:rPr>
        <w:t>課程與教學資源分析</w:t>
      </w:r>
      <w:r w:rsidR="006F7D43" w:rsidRPr="00880935">
        <w:rPr>
          <w:rFonts w:ascii="標楷體" w:eastAsia="標楷體" w:hAnsi="標楷體" w:hint="eastAsia"/>
          <w:color w:val="FF0000"/>
          <w:sz w:val="28"/>
          <w:szCs w:val="28"/>
        </w:rPr>
        <w:t>(例)</w:t>
      </w:r>
    </w:p>
    <w:tbl>
      <w:tblPr>
        <w:tblW w:w="963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985"/>
        <w:gridCol w:w="1842"/>
      </w:tblGrid>
      <w:tr w:rsidR="00CA15F8" w:rsidRPr="00C93C7B" w:rsidTr="00880935">
        <w:trPr>
          <w:trHeight w:val="680"/>
        </w:trPr>
        <w:tc>
          <w:tcPr>
            <w:tcW w:w="1985" w:type="dxa"/>
            <w:shd w:val="clear" w:color="auto" w:fill="CCEC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人</w:t>
            </w:r>
          </w:p>
        </w:tc>
        <w:tc>
          <w:tcPr>
            <w:tcW w:w="1984" w:type="dxa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文</w:t>
            </w:r>
          </w:p>
        </w:tc>
        <w:tc>
          <w:tcPr>
            <w:tcW w:w="184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地</w:t>
            </w:r>
          </w:p>
        </w:tc>
        <w:tc>
          <w:tcPr>
            <w:tcW w:w="1985" w:type="dxa"/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景</w:t>
            </w:r>
          </w:p>
        </w:tc>
        <w:tc>
          <w:tcPr>
            <w:tcW w:w="1842" w:type="dxa"/>
            <w:shd w:val="clear" w:color="auto" w:fill="FFDE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產</w:t>
            </w:r>
          </w:p>
        </w:tc>
      </w:tr>
      <w:tr w:rsidR="00CA15F8" w:rsidRPr="00C93C7B" w:rsidTr="00880935">
        <w:trPr>
          <w:trHeight w:val="8760"/>
        </w:trPr>
        <w:tc>
          <w:tcPr>
            <w:tcW w:w="1985" w:type="dxa"/>
            <w:shd w:val="clear" w:color="auto" w:fill="CCECFF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A15F8" w:rsidRPr="00880935" w:rsidRDefault="00CA15F8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  <w:t>親師生：</w:t>
            </w:r>
          </w:p>
          <w:p w:rsidR="00CA15F8" w:rsidRPr="00880935" w:rsidRDefault="00E05071" w:rsidP="00CA15F8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◎教師有活力熱情,</w:t>
            </w:r>
            <w:r w:rsidR="009E0D51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具有相當豐富教學經驗,</w:t>
            </w: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學生活潑可愛,</w:t>
            </w:r>
            <w:r w:rsidR="009E0D51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學習配合度極高。</w:t>
            </w:r>
          </w:p>
          <w:p w:rsidR="00880935" w:rsidRPr="00880935" w:rsidRDefault="00880935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  <w:p w:rsidR="006F7D43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社區：</w:t>
            </w:r>
          </w:p>
          <w:p w:rsidR="009E0D51" w:rsidRPr="009E0D51" w:rsidRDefault="009E0D51" w:rsidP="009E0D51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9E0D5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◎民眾純樸。</w:t>
            </w:r>
          </w:p>
          <w:p w:rsidR="006F7D43" w:rsidRPr="00880935" w:rsidRDefault="002451E8" w:rsidP="009E0D51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◎鄉土文學、宗教寺廟、自然生態等豐富資源</w:t>
            </w:r>
            <w:r w:rsidR="009E0D51" w:rsidRPr="009E0D5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。</w:t>
            </w:r>
          </w:p>
          <w:p w:rsidR="00880935" w:rsidRPr="00880935" w:rsidRDefault="00880935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</w:p>
          <w:p w:rsidR="00CA15F8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校友</w:t>
            </w:r>
            <w:r w:rsidR="00C93C7B"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、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家長</w:t>
            </w:r>
          </w:p>
          <w:p w:rsidR="00E05071" w:rsidRPr="00E05071" w:rsidRDefault="00E05071" w:rsidP="00E05071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E05071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◎背景單純、動機良善。</w:t>
            </w:r>
          </w:p>
          <w:p w:rsidR="006F7D43" w:rsidRPr="00880935" w:rsidRDefault="00E05071" w:rsidP="00E05071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E05071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◎家長會熱心，配合度佳。</w:t>
            </w:r>
          </w:p>
          <w:p w:rsidR="00880935" w:rsidRPr="00880935" w:rsidRDefault="00880935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  <w:p w:rsidR="00CA15F8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社團：</w:t>
            </w:r>
          </w:p>
          <w:p w:rsidR="006F7D43" w:rsidRPr="00880935" w:rsidRDefault="009E0D51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lastRenderedPageBreak/>
              <w:t>學校有豐富的課成社團,如有扯鈴、舞蹈、陶笛和武術等優秀社團。</w:t>
            </w:r>
          </w:p>
        </w:tc>
        <w:tc>
          <w:tcPr>
            <w:tcW w:w="1984" w:type="dxa"/>
            <w:shd w:val="clear" w:color="auto" w:fill="FFFFCC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6F7D43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lastRenderedPageBreak/>
              <w:t>‧</w:t>
            </w:r>
            <w:r w:rsidRPr="00880935"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  <w:t>文化：</w:t>
            </w:r>
          </w:p>
          <w:p w:rsidR="006F7D43" w:rsidRPr="00880935" w:rsidRDefault="005A53D6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清水岩寺</w:t>
            </w:r>
          </w:p>
          <w:p w:rsidR="006F7D43" w:rsidRPr="00880935" w:rsidRDefault="005A53D6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斗山祠</w:t>
            </w:r>
          </w:p>
          <w:p w:rsidR="00CA15F8" w:rsidRDefault="00CA15F8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  <w:p w:rsidR="00880935" w:rsidRPr="00880935" w:rsidRDefault="00880935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  <w:p w:rsidR="00CA15F8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宗教：</w:t>
            </w:r>
          </w:p>
          <w:p w:rsidR="006F7D43" w:rsidRPr="00880935" w:rsidRDefault="009E0D51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附近有佛教道教廟宇,如清水岩寺和清聖宮。</w:t>
            </w:r>
          </w:p>
          <w:p w:rsidR="00880935" w:rsidRPr="00880935" w:rsidRDefault="00880935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  <w:p w:rsidR="006F7D43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食衣住行：</w:t>
            </w:r>
          </w:p>
          <w:p w:rsidR="006F7D43" w:rsidRPr="00880935" w:rsidRDefault="00B31791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食:芭樂龍眼鳳梨</w:t>
            </w:r>
          </w:p>
          <w:p w:rsidR="006F7D43" w:rsidRDefault="00B31791" w:rsidP="006F7D43">
            <w:pPr>
              <w:widowControl/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衣:襪子</w:t>
            </w:r>
          </w:p>
          <w:p w:rsidR="00880935" w:rsidRPr="00880935" w:rsidRDefault="00880935" w:rsidP="006F7D43">
            <w:pPr>
              <w:widowControl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  <w:p w:rsidR="006F7D43" w:rsidRPr="00880935" w:rsidRDefault="00CA15F8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文教：</w:t>
            </w:r>
          </w:p>
          <w:p w:rsidR="00CA15F8" w:rsidRPr="00880935" w:rsidRDefault="005A53D6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附近也有朝興國小,生態中心和各寺廟團體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CC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A15F8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  <w:t>地形：</w:t>
            </w:r>
          </w:p>
          <w:p w:rsidR="009E0D51" w:rsidRPr="009E0D51" w:rsidRDefault="009E0D51" w:rsidP="009E0D51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9E0D51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◎本校位居八卦山麓，風景優美。</w:t>
            </w:r>
          </w:p>
          <w:p w:rsidR="00880935" w:rsidRPr="009E0D51" w:rsidRDefault="009E0D51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9E0D51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◎附近名勝古蹟多，如清水岩寺、露營區、觀音山……。</w:t>
            </w:r>
          </w:p>
          <w:p w:rsidR="006F7D43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地理區位：</w:t>
            </w:r>
          </w:p>
          <w:p w:rsidR="00880935" w:rsidRPr="008F0EAD" w:rsidRDefault="008F0EAD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F0EAD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本校位居八卦山麓，風景優美。</w:t>
            </w:r>
          </w:p>
          <w:p w:rsidR="006F7D43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="006F7D43" w:rsidRPr="00880935">
              <w:rPr>
                <w:rFonts w:ascii="標楷體" w:eastAsia="標楷體" w:hAnsi="標楷體" w:cs="細明體" w:hint="eastAsia"/>
                <w:b/>
                <w:color w:val="080808"/>
                <w:sz w:val="28"/>
                <w:szCs w:val="28"/>
              </w:rPr>
              <w:t>動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植物：</w:t>
            </w:r>
          </w:p>
          <w:p w:rsidR="00CA15F8" w:rsidRPr="00880935" w:rsidRDefault="002451E8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有豐富的生態保育,</w:t>
            </w:r>
            <w:r w:rsidR="008F0EAD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以及清水岩生態保育中心,另外,得天獨厚的昆蟲和蝴蝶生態環境</w:t>
            </w:r>
          </w:p>
          <w:p w:rsidR="00CA15F8" w:rsidRPr="00880935" w:rsidRDefault="00CA15F8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CCFF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6F7D43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  <w:t>城鄉景觀：</w:t>
            </w:r>
          </w:p>
          <w:p w:rsidR="006F7D43" w:rsidRPr="00880935" w:rsidRDefault="00B31791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清水岩寺</w:t>
            </w:r>
          </w:p>
          <w:p w:rsidR="00CA15F8" w:rsidRDefault="00B31791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清聖宮</w:t>
            </w:r>
          </w:p>
          <w:p w:rsidR="00B31791" w:rsidRPr="00880935" w:rsidRDefault="00B31791" w:rsidP="006F7D43">
            <w:pPr>
              <w:widowControl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長青自行車步道</w:t>
            </w:r>
          </w:p>
          <w:p w:rsidR="006F7D43" w:rsidRDefault="00B31791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清水岩文創協會昆蟲生態館</w:t>
            </w:r>
          </w:p>
          <w:p w:rsidR="006F7D43" w:rsidRPr="00880935" w:rsidRDefault="006F7D43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</w:p>
          <w:p w:rsidR="006F7D43" w:rsidRDefault="006F7D43" w:rsidP="006F7D43">
            <w:pPr>
              <w:widowControl/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</w:pPr>
          </w:p>
          <w:p w:rsidR="00880935" w:rsidRPr="00880935" w:rsidRDefault="00880935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</w:p>
          <w:p w:rsidR="00CA15F8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歷史遺跡：</w:t>
            </w:r>
          </w:p>
          <w:p w:rsidR="006F7D43" w:rsidRDefault="00B31791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清水岩寺</w:t>
            </w:r>
          </w:p>
          <w:p w:rsidR="00B31791" w:rsidRPr="00B31791" w:rsidRDefault="00B31791" w:rsidP="006F7D43">
            <w:pPr>
              <w:widowControl/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斗山祠</w:t>
            </w:r>
          </w:p>
        </w:tc>
        <w:tc>
          <w:tcPr>
            <w:tcW w:w="1842" w:type="dxa"/>
            <w:shd w:val="clear" w:color="auto" w:fill="FFDEBD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A15F8" w:rsidRPr="00880935" w:rsidRDefault="00CA15F8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  <w:t>農林漁：</w:t>
            </w:r>
          </w:p>
          <w:p w:rsidR="006F7D43" w:rsidRPr="00880935" w:rsidRDefault="00F908AF" w:rsidP="006F7D43">
            <w:pPr>
              <w:widowControl/>
              <w:rPr>
                <w:rFonts w:ascii="標楷體" w:eastAsia="標楷體" w:hAnsi="標楷體"/>
                <w:b/>
                <w:color w:val="08080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校園附近以農村為發展,有種植芭樂、龍眼和稻米等農特產品。</w:t>
            </w:r>
          </w:p>
          <w:p w:rsidR="006F7D43" w:rsidRDefault="006F7D43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  <w:p w:rsidR="00880935" w:rsidRPr="00880935" w:rsidRDefault="00880935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  <w:p w:rsidR="006F7D43" w:rsidRPr="00880935" w:rsidRDefault="00CA15F8" w:rsidP="006F7D43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880935">
              <w:rPr>
                <w:rFonts w:ascii="標楷體" w:eastAsia="標楷體" w:hAnsi="標楷體" w:cs="細明體"/>
                <w:b/>
                <w:color w:val="080808"/>
                <w:sz w:val="28"/>
                <w:szCs w:val="28"/>
              </w:rPr>
              <w:t>‧</w:t>
            </w:r>
            <w:r w:rsidRPr="00880935">
              <w:rPr>
                <w:rFonts w:ascii="標楷體" w:eastAsia="標楷體" w:hAnsi="標楷體" w:hint="eastAsia"/>
                <w:b/>
                <w:color w:val="080808"/>
                <w:sz w:val="28"/>
                <w:szCs w:val="28"/>
              </w:rPr>
              <w:t>文創產業：</w:t>
            </w:r>
            <w:r w:rsidR="006F7D43" w:rsidRPr="00880935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 xml:space="preserve"> </w:t>
            </w:r>
          </w:p>
          <w:p w:rsidR="00CA15F8" w:rsidRDefault="009E0D51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襪子產業</w:t>
            </w:r>
          </w:p>
          <w:p w:rsidR="002451E8" w:rsidRDefault="002451E8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芭樂產業</w:t>
            </w:r>
          </w:p>
          <w:p w:rsidR="002451E8" w:rsidRDefault="002451E8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農特產品產業</w:t>
            </w:r>
          </w:p>
          <w:p w:rsidR="002451E8" w:rsidRPr="00880935" w:rsidRDefault="002451E8" w:rsidP="00CA15F8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鳳梨酥產業</w:t>
            </w:r>
          </w:p>
        </w:tc>
      </w:tr>
    </w:tbl>
    <w:p w:rsidR="00CA15F8" w:rsidRDefault="00CA15F8" w:rsidP="002A30ED">
      <w:pPr>
        <w:spacing w:beforeLines="50" w:before="120" w:afterLines="50" w:after="120"/>
        <w:rPr>
          <w:rFonts w:eastAsia="標楷體"/>
          <w:color w:val="FF0000"/>
          <w:sz w:val="28"/>
          <w:szCs w:val="28"/>
        </w:rPr>
      </w:pPr>
    </w:p>
    <w:p w:rsidR="00CA15F8" w:rsidRPr="00CA15F8" w:rsidRDefault="00CA15F8" w:rsidP="002A30ED">
      <w:pPr>
        <w:spacing w:beforeLines="50" w:before="120" w:afterLines="50" w:after="120"/>
        <w:rPr>
          <w:rFonts w:eastAsia="標楷體"/>
          <w:sz w:val="28"/>
          <w:szCs w:val="28"/>
        </w:rPr>
      </w:pPr>
    </w:p>
    <w:p w:rsidR="004417BA" w:rsidRDefault="004417BA" w:rsidP="002A30ED">
      <w:pPr>
        <w:spacing w:beforeLines="50" w:before="120" w:afterLines="50" w:after="120"/>
        <w:rPr>
          <w:rFonts w:eastAsia="標楷體"/>
        </w:rPr>
      </w:pPr>
    </w:p>
    <w:sectPr w:rsidR="004417BA" w:rsidSect="00F17564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0E" w:rsidRDefault="00D06F0E">
      <w:r>
        <w:separator/>
      </w:r>
    </w:p>
  </w:endnote>
  <w:endnote w:type="continuationSeparator" w:id="0">
    <w:p w:rsidR="00D06F0E" w:rsidRDefault="00D0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0E" w:rsidRDefault="00D06F0E">
      <w:r>
        <w:separator/>
      </w:r>
    </w:p>
  </w:footnote>
  <w:footnote w:type="continuationSeparator" w:id="0">
    <w:p w:rsidR="00D06F0E" w:rsidRDefault="00D0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67709E6"/>
    <w:multiLevelType w:val="multilevel"/>
    <w:tmpl w:val="B98CCE16"/>
    <w:lvl w:ilvl="0">
      <w:start w:val="3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8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B725AC"/>
    <w:multiLevelType w:val="multilevel"/>
    <w:tmpl w:val="3756398A"/>
    <w:lvl w:ilvl="0">
      <w:start w:val="21"/>
      <w:numFmt w:val="decimal"/>
      <w:lvlText w:val="%1"/>
      <w:lvlJc w:val="left"/>
      <w:pPr>
        <w:ind w:left="135" w:hanging="497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" w:hanging="497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1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58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0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54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0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51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3992" w:hanging="497"/>
      </w:pPr>
      <w:rPr>
        <w:rFonts w:hint="default"/>
        <w:lang w:val="zh-TW" w:eastAsia="zh-TW" w:bidi="zh-TW"/>
      </w:rPr>
    </w:lvl>
  </w:abstractNum>
  <w:abstractNum w:abstractNumId="10" w15:restartNumberingAfterBreak="0">
    <w:nsid w:val="1CC0222D"/>
    <w:multiLevelType w:val="hybridMultilevel"/>
    <w:tmpl w:val="B356630E"/>
    <w:lvl w:ilvl="0" w:tplc="04E41B32">
      <w:start w:val="5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FAE1606"/>
    <w:multiLevelType w:val="hybridMultilevel"/>
    <w:tmpl w:val="D57CA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6265EF"/>
    <w:multiLevelType w:val="hybridMultilevel"/>
    <w:tmpl w:val="B94E703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E20A5"/>
    <w:multiLevelType w:val="hybridMultilevel"/>
    <w:tmpl w:val="0E82E7AE"/>
    <w:lvl w:ilvl="0" w:tplc="5FA6F0A8">
      <w:start w:val="8"/>
      <w:numFmt w:val="ideographLegalTraditional"/>
      <w:suff w:val="nothing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D952CC"/>
    <w:multiLevelType w:val="hybridMultilevel"/>
    <w:tmpl w:val="5DBEBBDA"/>
    <w:lvl w:ilvl="0" w:tplc="237A75B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751422B"/>
    <w:multiLevelType w:val="multilevel"/>
    <w:tmpl w:val="25BCF2A6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9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b w:val="0"/>
        <w:color w:val="C0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48995936"/>
    <w:multiLevelType w:val="hybridMultilevel"/>
    <w:tmpl w:val="567A1296"/>
    <w:lvl w:ilvl="0" w:tplc="04E41B32">
      <w:start w:val="5"/>
      <w:numFmt w:val="taiwaneseCountingThousand"/>
      <w:lvlText w:val="%1、"/>
      <w:lvlJc w:val="left"/>
      <w:pPr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0" w15:restartNumberingAfterBreak="0">
    <w:nsid w:val="4CEA7822"/>
    <w:multiLevelType w:val="hybridMultilevel"/>
    <w:tmpl w:val="8C24A454"/>
    <w:lvl w:ilvl="0" w:tplc="C6C60C78">
      <w:start w:val="5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strike w:val="0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1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24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7E6A700D"/>
    <w:multiLevelType w:val="hybridMultilevel"/>
    <w:tmpl w:val="9238E112"/>
    <w:lvl w:ilvl="0" w:tplc="29C6EDE4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0"/>
  </w:num>
  <w:num w:numId="5">
    <w:abstractNumId w:val="29"/>
  </w:num>
  <w:num w:numId="6">
    <w:abstractNumId w:val="27"/>
  </w:num>
  <w:num w:numId="7">
    <w:abstractNumId w:val="4"/>
  </w:num>
  <w:num w:numId="8">
    <w:abstractNumId w:val="8"/>
  </w:num>
  <w:num w:numId="9">
    <w:abstractNumId w:val="24"/>
  </w:num>
  <w:num w:numId="10">
    <w:abstractNumId w:val="17"/>
  </w:num>
  <w:num w:numId="11">
    <w:abstractNumId w:val="22"/>
  </w:num>
  <w:num w:numId="12">
    <w:abstractNumId w:val="6"/>
  </w:num>
  <w:num w:numId="13">
    <w:abstractNumId w:val="26"/>
  </w:num>
  <w:num w:numId="14">
    <w:abstractNumId w:val="3"/>
  </w:num>
  <w:num w:numId="15">
    <w:abstractNumId w:val="2"/>
  </w:num>
  <w:num w:numId="16">
    <w:abstractNumId w:val="25"/>
  </w:num>
  <w:num w:numId="17">
    <w:abstractNumId w:val="21"/>
  </w:num>
  <w:num w:numId="18">
    <w:abstractNumId w:val="28"/>
  </w:num>
  <w:num w:numId="19">
    <w:abstractNumId w:val="16"/>
  </w:num>
  <w:num w:numId="20">
    <w:abstractNumId w:val="5"/>
  </w:num>
  <w:num w:numId="21">
    <w:abstractNumId w:val="31"/>
  </w:num>
  <w:num w:numId="22">
    <w:abstractNumId w:val="0"/>
  </w:num>
  <w:num w:numId="23">
    <w:abstractNumId w:val="14"/>
  </w:num>
  <w:num w:numId="24">
    <w:abstractNumId w:val="12"/>
  </w:num>
  <w:num w:numId="25">
    <w:abstractNumId w:val="20"/>
  </w:num>
  <w:num w:numId="26">
    <w:abstractNumId w:val="10"/>
  </w:num>
  <w:num w:numId="27">
    <w:abstractNumId w:val="19"/>
  </w:num>
  <w:num w:numId="28">
    <w:abstractNumId w:val="7"/>
  </w:num>
  <w:num w:numId="29">
    <w:abstractNumId w:val="18"/>
  </w:num>
  <w:num w:numId="30">
    <w:abstractNumId w:val="9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7"/>
    <w:rsid w:val="00000D26"/>
    <w:rsid w:val="000027D1"/>
    <w:rsid w:val="0000361E"/>
    <w:rsid w:val="00007D82"/>
    <w:rsid w:val="00010DCF"/>
    <w:rsid w:val="00015E96"/>
    <w:rsid w:val="000457C0"/>
    <w:rsid w:val="00045D57"/>
    <w:rsid w:val="000473F2"/>
    <w:rsid w:val="000534BC"/>
    <w:rsid w:val="000535D8"/>
    <w:rsid w:val="00060B7B"/>
    <w:rsid w:val="000622AD"/>
    <w:rsid w:val="00063EDB"/>
    <w:rsid w:val="00071ED5"/>
    <w:rsid w:val="00080146"/>
    <w:rsid w:val="00080C11"/>
    <w:rsid w:val="00094118"/>
    <w:rsid w:val="0009453F"/>
    <w:rsid w:val="000A2724"/>
    <w:rsid w:val="000A3AEE"/>
    <w:rsid w:val="000A50C0"/>
    <w:rsid w:val="000B380E"/>
    <w:rsid w:val="000C0B97"/>
    <w:rsid w:val="000C4D55"/>
    <w:rsid w:val="000D2A17"/>
    <w:rsid w:val="000E422F"/>
    <w:rsid w:val="000E5B36"/>
    <w:rsid w:val="000E66AE"/>
    <w:rsid w:val="000F7BAC"/>
    <w:rsid w:val="0010345E"/>
    <w:rsid w:val="00104987"/>
    <w:rsid w:val="00107CD9"/>
    <w:rsid w:val="00136430"/>
    <w:rsid w:val="00140023"/>
    <w:rsid w:val="00155D50"/>
    <w:rsid w:val="0017675D"/>
    <w:rsid w:val="0018302B"/>
    <w:rsid w:val="00191AD8"/>
    <w:rsid w:val="00196444"/>
    <w:rsid w:val="001B2EE1"/>
    <w:rsid w:val="001B3034"/>
    <w:rsid w:val="001B7696"/>
    <w:rsid w:val="001C5384"/>
    <w:rsid w:val="001C6BF8"/>
    <w:rsid w:val="001E2568"/>
    <w:rsid w:val="001E4A1D"/>
    <w:rsid w:val="001E75D7"/>
    <w:rsid w:val="001F359D"/>
    <w:rsid w:val="001F77F8"/>
    <w:rsid w:val="001F7A15"/>
    <w:rsid w:val="0020384D"/>
    <w:rsid w:val="00207D5F"/>
    <w:rsid w:val="00213204"/>
    <w:rsid w:val="00221596"/>
    <w:rsid w:val="002451E8"/>
    <w:rsid w:val="00247E7D"/>
    <w:rsid w:val="002503C6"/>
    <w:rsid w:val="00260F7A"/>
    <w:rsid w:val="00262408"/>
    <w:rsid w:val="002624CF"/>
    <w:rsid w:val="00270D5A"/>
    <w:rsid w:val="002732F4"/>
    <w:rsid w:val="002735E1"/>
    <w:rsid w:val="00275501"/>
    <w:rsid w:val="00276809"/>
    <w:rsid w:val="00276DC8"/>
    <w:rsid w:val="002814B0"/>
    <w:rsid w:val="00284970"/>
    <w:rsid w:val="00294731"/>
    <w:rsid w:val="002A20A2"/>
    <w:rsid w:val="002A228E"/>
    <w:rsid w:val="002A30ED"/>
    <w:rsid w:val="002A3988"/>
    <w:rsid w:val="002A577E"/>
    <w:rsid w:val="002A6993"/>
    <w:rsid w:val="002A7E39"/>
    <w:rsid w:val="002B00D1"/>
    <w:rsid w:val="002B0436"/>
    <w:rsid w:val="002D0681"/>
    <w:rsid w:val="002D3071"/>
    <w:rsid w:val="002D52DD"/>
    <w:rsid w:val="002E3F95"/>
    <w:rsid w:val="002F1E66"/>
    <w:rsid w:val="002F2420"/>
    <w:rsid w:val="002F24EE"/>
    <w:rsid w:val="002F32C1"/>
    <w:rsid w:val="002F59FE"/>
    <w:rsid w:val="00305091"/>
    <w:rsid w:val="003071D3"/>
    <w:rsid w:val="00324BB3"/>
    <w:rsid w:val="00325C23"/>
    <w:rsid w:val="0033297E"/>
    <w:rsid w:val="00342D95"/>
    <w:rsid w:val="003462CD"/>
    <w:rsid w:val="00354F08"/>
    <w:rsid w:val="00361CC4"/>
    <w:rsid w:val="00362947"/>
    <w:rsid w:val="00363143"/>
    <w:rsid w:val="00382246"/>
    <w:rsid w:val="00390073"/>
    <w:rsid w:val="0039199E"/>
    <w:rsid w:val="003A749E"/>
    <w:rsid w:val="003A762D"/>
    <w:rsid w:val="003B70A8"/>
    <w:rsid w:val="003C2C09"/>
    <w:rsid w:val="003D4BDA"/>
    <w:rsid w:val="004012BC"/>
    <w:rsid w:val="004024B0"/>
    <w:rsid w:val="004056C3"/>
    <w:rsid w:val="00410BF2"/>
    <w:rsid w:val="004138EF"/>
    <w:rsid w:val="004175FC"/>
    <w:rsid w:val="00422010"/>
    <w:rsid w:val="004372A7"/>
    <w:rsid w:val="004417BA"/>
    <w:rsid w:val="00456F01"/>
    <w:rsid w:val="0045703A"/>
    <w:rsid w:val="00463EFE"/>
    <w:rsid w:val="004647DE"/>
    <w:rsid w:val="004650F1"/>
    <w:rsid w:val="004721C3"/>
    <w:rsid w:val="0047564A"/>
    <w:rsid w:val="004773F1"/>
    <w:rsid w:val="0048709F"/>
    <w:rsid w:val="00490BC3"/>
    <w:rsid w:val="004961F4"/>
    <w:rsid w:val="00497D3B"/>
    <w:rsid w:val="004A6137"/>
    <w:rsid w:val="004B0B53"/>
    <w:rsid w:val="004C1F98"/>
    <w:rsid w:val="004D01A3"/>
    <w:rsid w:val="004D5656"/>
    <w:rsid w:val="004D6064"/>
    <w:rsid w:val="004E0335"/>
    <w:rsid w:val="004E60CC"/>
    <w:rsid w:val="004F1838"/>
    <w:rsid w:val="004F4211"/>
    <w:rsid w:val="00506BBD"/>
    <w:rsid w:val="00512B74"/>
    <w:rsid w:val="005158E7"/>
    <w:rsid w:val="00516685"/>
    <w:rsid w:val="0052660E"/>
    <w:rsid w:val="00526A47"/>
    <w:rsid w:val="0053643B"/>
    <w:rsid w:val="005405C3"/>
    <w:rsid w:val="00544440"/>
    <w:rsid w:val="00546D70"/>
    <w:rsid w:val="00557133"/>
    <w:rsid w:val="0055792F"/>
    <w:rsid w:val="00561611"/>
    <w:rsid w:val="0056210E"/>
    <w:rsid w:val="0056249B"/>
    <w:rsid w:val="005632CE"/>
    <w:rsid w:val="00563E80"/>
    <w:rsid w:val="00565C45"/>
    <w:rsid w:val="00567884"/>
    <w:rsid w:val="0058140E"/>
    <w:rsid w:val="00584C01"/>
    <w:rsid w:val="00584EE0"/>
    <w:rsid w:val="005866C5"/>
    <w:rsid w:val="005933DC"/>
    <w:rsid w:val="005957F1"/>
    <w:rsid w:val="005A53D6"/>
    <w:rsid w:val="005B43B5"/>
    <w:rsid w:val="005B7FEA"/>
    <w:rsid w:val="005C00E2"/>
    <w:rsid w:val="005C1256"/>
    <w:rsid w:val="005C6561"/>
    <w:rsid w:val="005C6EF4"/>
    <w:rsid w:val="005D0BB5"/>
    <w:rsid w:val="005D0D60"/>
    <w:rsid w:val="005D3EA5"/>
    <w:rsid w:val="005E1856"/>
    <w:rsid w:val="005E1C62"/>
    <w:rsid w:val="005E31C7"/>
    <w:rsid w:val="006131F2"/>
    <w:rsid w:val="00614761"/>
    <w:rsid w:val="006157FA"/>
    <w:rsid w:val="00615AEF"/>
    <w:rsid w:val="00615F1E"/>
    <w:rsid w:val="0062108E"/>
    <w:rsid w:val="00626C33"/>
    <w:rsid w:val="00627CC2"/>
    <w:rsid w:val="0063122F"/>
    <w:rsid w:val="0064216D"/>
    <w:rsid w:val="00645113"/>
    <w:rsid w:val="00654C84"/>
    <w:rsid w:val="00655601"/>
    <w:rsid w:val="0066242D"/>
    <w:rsid w:val="00663287"/>
    <w:rsid w:val="00670926"/>
    <w:rsid w:val="00675A3B"/>
    <w:rsid w:val="00680971"/>
    <w:rsid w:val="00694026"/>
    <w:rsid w:val="006A339F"/>
    <w:rsid w:val="006A4DA2"/>
    <w:rsid w:val="006A6FD0"/>
    <w:rsid w:val="006A7EA5"/>
    <w:rsid w:val="006B0787"/>
    <w:rsid w:val="006B3BAB"/>
    <w:rsid w:val="006C3C37"/>
    <w:rsid w:val="006C5C67"/>
    <w:rsid w:val="006D25C8"/>
    <w:rsid w:val="006D3AFF"/>
    <w:rsid w:val="006D5E80"/>
    <w:rsid w:val="006E30BA"/>
    <w:rsid w:val="006E3436"/>
    <w:rsid w:val="006E70EF"/>
    <w:rsid w:val="006F3A64"/>
    <w:rsid w:val="006F5D7C"/>
    <w:rsid w:val="006F7D43"/>
    <w:rsid w:val="007072DB"/>
    <w:rsid w:val="00713DF5"/>
    <w:rsid w:val="00713E42"/>
    <w:rsid w:val="00722C5A"/>
    <w:rsid w:val="00727740"/>
    <w:rsid w:val="0074354F"/>
    <w:rsid w:val="007530DA"/>
    <w:rsid w:val="00753C0A"/>
    <w:rsid w:val="0076639E"/>
    <w:rsid w:val="0077289A"/>
    <w:rsid w:val="00793687"/>
    <w:rsid w:val="007A0299"/>
    <w:rsid w:val="007B036D"/>
    <w:rsid w:val="007B0F57"/>
    <w:rsid w:val="007C0CBF"/>
    <w:rsid w:val="007C1552"/>
    <w:rsid w:val="007C341D"/>
    <w:rsid w:val="007C3F22"/>
    <w:rsid w:val="007C739C"/>
    <w:rsid w:val="007D0E22"/>
    <w:rsid w:val="007D78B9"/>
    <w:rsid w:val="007D7DFB"/>
    <w:rsid w:val="007E6070"/>
    <w:rsid w:val="007E7092"/>
    <w:rsid w:val="007F23F2"/>
    <w:rsid w:val="008010C7"/>
    <w:rsid w:val="00804EC1"/>
    <w:rsid w:val="00806DB3"/>
    <w:rsid w:val="00815D52"/>
    <w:rsid w:val="0081649D"/>
    <w:rsid w:val="008216D2"/>
    <w:rsid w:val="00823259"/>
    <w:rsid w:val="0082390F"/>
    <w:rsid w:val="0083051B"/>
    <w:rsid w:val="00830C3B"/>
    <w:rsid w:val="008408DC"/>
    <w:rsid w:val="0084113E"/>
    <w:rsid w:val="0084156F"/>
    <w:rsid w:val="0084343F"/>
    <w:rsid w:val="008434DB"/>
    <w:rsid w:val="00867C7C"/>
    <w:rsid w:val="00877F2E"/>
    <w:rsid w:val="00880935"/>
    <w:rsid w:val="008854D2"/>
    <w:rsid w:val="0089778B"/>
    <w:rsid w:val="008A1396"/>
    <w:rsid w:val="008A1F77"/>
    <w:rsid w:val="008A2987"/>
    <w:rsid w:val="008A423E"/>
    <w:rsid w:val="008B2E8D"/>
    <w:rsid w:val="008C2258"/>
    <w:rsid w:val="008D3260"/>
    <w:rsid w:val="008F0EAD"/>
    <w:rsid w:val="00903E9C"/>
    <w:rsid w:val="00931B31"/>
    <w:rsid w:val="00933C25"/>
    <w:rsid w:val="00941805"/>
    <w:rsid w:val="00941F28"/>
    <w:rsid w:val="00944D39"/>
    <w:rsid w:val="00955091"/>
    <w:rsid w:val="00956B25"/>
    <w:rsid w:val="00961479"/>
    <w:rsid w:val="009672A7"/>
    <w:rsid w:val="00967D17"/>
    <w:rsid w:val="00971327"/>
    <w:rsid w:val="00973772"/>
    <w:rsid w:val="00976939"/>
    <w:rsid w:val="009909F1"/>
    <w:rsid w:val="009B575A"/>
    <w:rsid w:val="009C7D76"/>
    <w:rsid w:val="009D50B4"/>
    <w:rsid w:val="009E0D51"/>
    <w:rsid w:val="009E1DB5"/>
    <w:rsid w:val="009E6770"/>
    <w:rsid w:val="009F45DC"/>
    <w:rsid w:val="009F4B16"/>
    <w:rsid w:val="00A11E83"/>
    <w:rsid w:val="00A154AA"/>
    <w:rsid w:val="00A20733"/>
    <w:rsid w:val="00A24C29"/>
    <w:rsid w:val="00A2558E"/>
    <w:rsid w:val="00A26617"/>
    <w:rsid w:val="00A303C3"/>
    <w:rsid w:val="00A374AE"/>
    <w:rsid w:val="00A429A3"/>
    <w:rsid w:val="00A53502"/>
    <w:rsid w:val="00A60534"/>
    <w:rsid w:val="00A63598"/>
    <w:rsid w:val="00A65551"/>
    <w:rsid w:val="00A73491"/>
    <w:rsid w:val="00A7403E"/>
    <w:rsid w:val="00A744CE"/>
    <w:rsid w:val="00A76DEC"/>
    <w:rsid w:val="00A922BC"/>
    <w:rsid w:val="00AA0CA6"/>
    <w:rsid w:val="00AB1621"/>
    <w:rsid w:val="00AB245C"/>
    <w:rsid w:val="00AB2967"/>
    <w:rsid w:val="00AB3391"/>
    <w:rsid w:val="00AC0D27"/>
    <w:rsid w:val="00AC2BFE"/>
    <w:rsid w:val="00AD12BB"/>
    <w:rsid w:val="00AD4884"/>
    <w:rsid w:val="00AD61CC"/>
    <w:rsid w:val="00AD7DD3"/>
    <w:rsid w:val="00AE0A44"/>
    <w:rsid w:val="00AF0B6A"/>
    <w:rsid w:val="00AF1DF4"/>
    <w:rsid w:val="00AF3663"/>
    <w:rsid w:val="00AF5972"/>
    <w:rsid w:val="00B005EB"/>
    <w:rsid w:val="00B06298"/>
    <w:rsid w:val="00B06D2B"/>
    <w:rsid w:val="00B14C0D"/>
    <w:rsid w:val="00B1520C"/>
    <w:rsid w:val="00B15502"/>
    <w:rsid w:val="00B17A4B"/>
    <w:rsid w:val="00B230C3"/>
    <w:rsid w:val="00B27D19"/>
    <w:rsid w:val="00B31791"/>
    <w:rsid w:val="00B344C6"/>
    <w:rsid w:val="00B40C87"/>
    <w:rsid w:val="00B477D9"/>
    <w:rsid w:val="00B53532"/>
    <w:rsid w:val="00B67FA7"/>
    <w:rsid w:val="00B71728"/>
    <w:rsid w:val="00B72940"/>
    <w:rsid w:val="00B74F55"/>
    <w:rsid w:val="00B7677A"/>
    <w:rsid w:val="00B77AD9"/>
    <w:rsid w:val="00B82822"/>
    <w:rsid w:val="00B900F8"/>
    <w:rsid w:val="00BB27DF"/>
    <w:rsid w:val="00BC0CDB"/>
    <w:rsid w:val="00BD1ED9"/>
    <w:rsid w:val="00BD6936"/>
    <w:rsid w:val="00BD6DAC"/>
    <w:rsid w:val="00BE0351"/>
    <w:rsid w:val="00BE604B"/>
    <w:rsid w:val="00BE7628"/>
    <w:rsid w:val="00C03374"/>
    <w:rsid w:val="00C06ADF"/>
    <w:rsid w:val="00C15D1E"/>
    <w:rsid w:val="00C272D5"/>
    <w:rsid w:val="00C27AA9"/>
    <w:rsid w:val="00C27B11"/>
    <w:rsid w:val="00C47CA6"/>
    <w:rsid w:val="00C8177F"/>
    <w:rsid w:val="00C8275B"/>
    <w:rsid w:val="00C85472"/>
    <w:rsid w:val="00C93C7B"/>
    <w:rsid w:val="00CA15F8"/>
    <w:rsid w:val="00CA2D79"/>
    <w:rsid w:val="00CA565C"/>
    <w:rsid w:val="00CA5C09"/>
    <w:rsid w:val="00CB05A3"/>
    <w:rsid w:val="00CC1B4F"/>
    <w:rsid w:val="00CC27A8"/>
    <w:rsid w:val="00CC6992"/>
    <w:rsid w:val="00CE3F84"/>
    <w:rsid w:val="00D06F0E"/>
    <w:rsid w:val="00D245B0"/>
    <w:rsid w:val="00D2589C"/>
    <w:rsid w:val="00D2786A"/>
    <w:rsid w:val="00D40749"/>
    <w:rsid w:val="00D41AA2"/>
    <w:rsid w:val="00D45161"/>
    <w:rsid w:val="00D5200A"/>
    <w:rsid w:val="00D5761B"/>
    <w:rsid w:val="00D64BBA"/>
    <w:rsid w:val="00D7428B"/>
    <w:rsid w:val="00D868AF"/>
    <w:rsid w:val="00D909CA"/>
    <w:rsid w:val="00D92ECC"/>
    <w:rsid w:val="00D95070"/>
    <w:rsid w:val="00DB30D8"/>
    <w:rsid w:val="00DB7822"/>
    <w:rsid w:val="00DD3973"/>
    <w:rsid w:val="00DE1F5A"/>
    <w:rsid w:val="00DE64AD"/>
    <w:rsid w:val="00DF0D37"/>
    <w:rsid w:val="00DF1F16"/>
    <w:rsid w:val="00DF3813"/>
    <w:rsid w:val="00DF395F"/>
    <w:rsid w:val="00DF7F41"/>
    <w:rsid w:val="00E03FE5"/>
    <w:rsid w:val="00E05071"/>
    <w:rsid w:val="00E072F0"/>
    <w:rsid w:val="00E1277C"/>
    <w:rsid w:val="00E17F1F"/>
    <w:rsid w:val="00E212A6"/>
    <w:rsid w:val="00E231AE"/>
    <w:rsid w:val="00E26234"/>
    <w:rsid w:val="00E270DC"/>
    <w:rsid w:val="00E31A24"/>
    <w:rsid w:val="00E32062"/>
    <w:rsid w:val="00E3779D"/>
    <w:rsid w:val="00E37DF9"/>
    <w:rsid w:val="00E410F0"/>
    <w:rsid w:val="00E430C0"/>
    <w:rsid w:val="00E54660"/>
    <w:rsid w:val="00E578CA"/>
    <w:rsid w:val="00E617B7"/>
    <w:rsid w:val="00E65B2A"/>
    <w:rsid w:val="00E721BD"/>
    <w:rsid w:val="00E742B2"/>
    <w:rsid w:val="00E87864"/>
    <w:rsid w:val="00EA39DD"/>
    <w:rsid w:val="00EA7C1B"/>
    <w:rsid w:val="00EB3603"/>
    <w:rsid w:val="00EB7999"/>
    <w:rsid w:val="00EC30BC"/>
    <w:rsid w:val="00EC7451"/>
    <w:rsid w:val="00ED07AF"/>
    <w:rsid w:val="00ED0C02"/>
    <w:rsid w:val="00ED292E"/>
    <w:rsid w:val="00EE1574"/>
    <w:rsid w:val="00EE48B9"/>
    <w:rsid w:val="00EF04E8"/>
    <w:rsid w:val="00EF38C1"/>
    <w:rsid w:val="00EF60A4"/>
    <w:rsid w:val="00EF7A06"/>
    <w:rsid w:val="00F01E0D"/>
    <w:rsid w:val="00F02731"/>
    <w:rsid w:val="00F03179"/>
    <w:rsid w:val="00F03A28"/>
    <w:rsid w:val="00F12A10"/>
    <w:rsid w:val="00F155CE"/>
    <w:rsid w:val="00F17564"/>
    <w:rsid w:val="00F3204B"/>
    <w:rsid w:val="00F32B98"/>
    <w:rsid w:val="00F33390"/>
    <w:rsid w:val="00F334A8"/>
    <w:rsid w:val="00F34B9A"/>
    <w:rsid w:val="00F360D6"/>
    <w:rsid w:val="00F43E59"/>
    <w:rsid w:val="00F43FB4"/>
    <w:rsid w:val="00F4665C"/>
    <w:rsid w:val="00F53036"/>
    <w:rsid w:val="00F53C1A"/>
    <w:rsid w:val="00F61330"/>
    <w:rsid w:val="00F65D14"/>
    <w:rsid w:val="00F67852"/>
    <w:rsid w:val="00F67FFC"/>
    <w:rsid w:val="00F743BD"/>
    <w:rsid w:val="00F744C1"/>
    <w:rsid w:val="00F751B7"/>
    <w:rsid w:val="00F76885"/>
    <w:rsid w:val="00F8190E"/>
    <w:rsid w:val="00F908AF"/>
    <w:rsid w:val="00F93A67"/>
    <w:rsid w:val="00F93C9B"/>
    <w:rsid w:val="00F95BF3"/>
    <w:rsid w:val="00FA667E"/>
    <w:rsid w:val="00FB2BDA"/>
    <w:rsid w:val="00FB5455"/>
    <w:rsid w:val="00FB5A27"/>
    <w:rsid w:val="00FC0712"/>
    <w:rsid w:val="00FD37C5"/>
    <w:rsid w:val="00FE2B65"/>
    <w:rsid w:val="00FE398B"/>
    <w:rsid w:val="00FE490B"/>
    <w:rsid w:val="00FE49D2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FD03AB9-8AC5-404E-B33F-9252A532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62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link w:val="ac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uiPriority w:val="99"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styleId="af7">
    <w:name w:val="Strong"/>
    <w:basedOn w:val="a1"/>
    <w:uiPriority w:val="22"/>
    <w:qFormat/>
    <w:rsid w:val="00941F28"/>
    <w:rPr>
      <w:b/>
      <w:bCs/>
    </w:rPr>
  </w:style>
  <w:style w:type="table" w:customStyle="1" w:styleId="12">
    <w:name w:val="表格格線1"/>
    <w:basedOn w:val="a2"/>
    <w:next w:val="af4"/>
    <w:rsid w:val="00AF3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BD6DAC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BD6DAC"/>
    <w:rPr>
      <w:kern w:val="2"/>
      <w:sz w:val="24"/>
      <w:szCs w:val="24"/>
    </w:rPr>
  </w:style>
  <w:style w:type="character" w:customStyle="1" w:styleId="ac">
    <w:name w:val="本文 字元"/>
    <w:basedOn w:val="a1"/>
    <w:link w:val="ab"/>
    <w:semiHidden/>
    <w:rsid w:val="00BD6DAC"/>
    <w:rPr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E64A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1EF-B939-4474-A2BC-1932F405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1122</Words>
  <Characters>177</Characters>
  <Application>Microsoft Office Word</Application>
  <DocSecurity>0</DocSecurity>
  <Lines>1</Lines>
  <Paragraphs>2</Paragraphs>
  <ScaleCrop>false</ScaleCrop>
  <Company>Microsoft</Company>
  <LinksUpToDate>false</LinksUpToDate>
  <CharactersWithSpaces>1297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bcses</cp:lastModifiedBy>
  <cp:revision>8</cp:revision>
  <cp:lastPrinted>2020-04-09T02:06:00Z</cp:lastPrinted>
  <dcterms:created xsi:type="dcterms:W3CDTF">2021-03-24T03:00:00Z</dcterms:created>
  <dcterms:modified xsi:type="dcterms:W3CDTF">2021-06-01T03:23:00Z</dcterms:modified>
</cp:coreProperties>
</file>